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C8" w:rsidRPr="004A71C3" w:rsidRDefault="00A85CC8" w:rsidP="009D6792">
      <w:pPr>
        <w:jc w:val="both"/>
        <w:rPr>
          <w:b/>
          <w:bCs/>
        </w:rPr>
      </w:pPr>
    </w:p>
    <w:p w:rsidR="0005477F" w:rsidRDefault="0005477F" w:rsidP="009D6792">
      <w:pPr>
        <w:jc w:val="both"/>
        <w:rPr>
          <w:b/>
          <w:bCs/>
        </w:rPr>
      </w:pPr>
    </w:p>
    <w:p w:rsidR="00500FEC" w:rsidRDefault="00FF6E1D" w:rsidP="009D6792">
      <w:pPr>
        <w:jc w:val="both"/>
        <w:rPr>
          <w:b/>
          <w:bCs/>
        </w:rPr>
      </w:pPr>
      <w:r w:rsidRPr="004A71C3">
        <w:rPr>
          <w:b/>
          <w:bCs/>
        </w:rPr>
        <w:t>Oggetto:</w:t>
      </w:r>
      <w:r w:rsidR="00500FEC">
        <w:rPr>
          <w:b/>
          <w:bCs/>
        </w:rPr>
        <w:t xml:space="preserve"> </w:t>
      </w:r>
      <w:r w:rsidR="006E46C6">
        <w:rPr>
          <w:b/>
          <w:bCs/>
        </w:rPr>
        <w:t>PREVENZIONE INCENDI –</w:t>
      </w:r>
      <w:r w:rsidR="00C5797B">
        <w:rPr>
          <w:b/>
          <w:bCs/>
        </w:rPr>
        <w:t xml:space="preserve"> </w:t>
      </w:r>
      <w:r w:rsidR="00B25D57">
        <w:rPr>
          <w:b/>
          <w:bCs/>
        </w:rPr>
        <w:t>A</w:t>
      </w:r>
      <w:r w:rsidR="006E46C6">
        <w:rPr>
          <w:b/>
          <w:bCs/>
        </w:rPr>
        <w:t xml:space="preserve">pplicazione della nuova disciplina per </w:t>
      </w:r>
      <w:r w:rsidR="007D7059" w:rsidRPr="007D7059">
        <w:rPr>
          <w:b/>
          <w:bCs/>
        </w:rPr>
        <w:t xml:space="preserve">l’installazione di contenitori-distributori di </w:t>
      </w:r>
      <w:r w:rsidR="00322304">
        <w:rPr>
          <w:b/>
          <w:bCs/>
        </w:rPr>
        <w:t xml:space="preserve">gasolio di </w:t>
      </w:r>
      <w:r w:rsidR="007D7059" w:rsidRPr="007D7059">
        <w:rPr>
          <w:b/>
          <w:bCs/>
        </w:rPr>
        <w:t xml:space="preserve">capacità geometrica non superiore a 9 </w:t>
      </w:r>
      <w:r w:rsidR="00322304">
        <w:rPr>
          <w:b/>
          <w:bCs/>
        </w:rPr>
        <w:t>mc.</w:t>
      </w:r>
      <w:r w:rsidR="00B25D57">
        <w:rPr>
          <w:b/>
          <w:bCs/>
        </w:rPr>
        <w:t xml:space="preserve"> </w:t>
      </w:r>
      <w:r w:rsidR="00FE2AE2">
        <w:rPr>
          <w:b/>
          <w:bCs/>
        </w:rPr>
        <w:t>Ulteriori precisazioni.</w:t>
      </w:r>
    </w:p>
    <w:p w:rsidR="008E53B2" w:rsidRDefault="008E53B2" w:rsidP="009D6792">
      <w:pPr>
        <w:jc w:val="both"/>
        <w:rPr>
          <w:b/>
          <w:bCs/>
        </w:rPr>
      </w:pPr>
    </w:p>
    <w:p w:rsidR="007D7059" w:rsidRDefault="007D7059" w:rsidP="009D6792">
      <w:pPr>
        <w:jc w:val="both"/>
        <w:rPr>
          <w:bCs/>
        </w:rPr>
      </w:pPr>
      <w:r w:rsidRPr="007D7059">
        <w:rPr>
          <w:bCs/>
        </w:rPr>
        <w:t xml:space="preserve">Si </w:t>
      </w:r>
      <w:r w:rsidR="00591655">
        <w:rPr>
          <w:bCs/>
        </w:rPr>
        <w:t xml:space="preserve">forniscono </w:t>
      </w:r>
      <w:r w:rsidR="00FE2AE2">
        <w:rPr>
          <w:bCs/>
        </w:rPr>
        <w:t xml:space="preserve">alcune ulteriori indicazioni </w:t>
      </w:r>
      <w:r w:rsidR="0038268C">
        <w:rPr>
          <w:bCs/>
        </w:rPr>
        <w:t>sugli adempimenti che le imprese agricole sono tenute ad osservare</w:t>
      </w:r>
      <w:r w:rsidR="0038268C" w:rsidRPr="0038268C">
        <w:rPr>
          <w:bCs/>
        </w:rPr>
        <w:t xml:space="preserve"> </w:t>
      </w:r>
      <w:r w:rsidR="00FE2AE2">
        <w:rPr>
          <w:bCs/>
        </w:rPr>
        <w:t>relativamente ai contenitori-distributori di gasolio di capacità geometrica fino a 9 mc</w:t>
      </w:r>
      <w:r w:rsidR="0038268C">
        <w:rPr>
          <w:bCs/>
        </w:rPr>
        <w:t>.</w:t>
      </w:r>
    </w:p>
    <w:p w:rsidR="0038268C" w:rsidRDefault="0038268C" w:rsidP="009D6792">
      <w:pPr>
        <w:jc w:val="both"/>
        <w:rPr>
          <w:bCs/>
        </w:rPr>
      </w:pPr>
    </w:p>
    <w:p w:rsidR="00FE2AE2" w:rsidRDefault="0038268C" w:rsidP="009D6792">
      <w:pPr>
        <w:jc w:val="both"/>
        <w:rPr>
          <w:bCs/>
        </w:rPr>
      </w:pPr>
      <w:r>
        <w:rPr>
          <w:bCs/>
        </w:rPr>
        <w:t xml:space="preserve">Ciò in relazione </w:t>
      </w:r>
      <w:r w:rsidR="00FE2AE2">
        <w:rPr>
          <w:bCs/>
        </w:rPr>
        <w:t xml:space="preserve">alle segnalazioni ricevute dal territorio sul fatto che alcune associazioni di settore hanno indicato a tutto il territorio nazionale </w:t>
      </w:r>
      <w:r w:rsidR="001767E7">
        <w:rPr>
          <w:bCs/>
        </w:rPr>
        <w:t>la necessità</w:t>
      </w:r>
      <w:r>
        <w:rPr>
          <w:bCs/>
        </w:rPr>
        <w:t xml:space="preserve"> di </w:t>
      </w:r>
      <w:r w:rsidR="00FE2AE2">
        <w:rPr>
          <w:bCs/>
        </w:rPr>
        <w:t>inviare</w:t>
      </w:r>
      <w:r>
        <w:rPr>
          <w:bCs/>
        </w:rPr>
        <w:t xml:space="preserve"> una comunicazione </w:t>
      </w:r>
      <w:r w:rsidR="005378CA">
        <w:rPr>
          <w:bCs/>
        </w:rPr>
        <w:t>al SUAP</w:t>
      </w:r>
      <w:r w:rsidR="001767E7">
        <w:rPr>
          <w:bCs/>
        </w:rPr>
        <w:t>,</w:t>
      </w:r>
      <w:r w:rsidR="005378CA">
        <w:rPr>
          <w:bCs/>
        </w:rPr>
        <w:t xml:space="preserve"> </w:t>
      </w:r>
      <w:r w:rsidR="00AF1E72">
        <w:rPr>
          <w:bCs/>
        </w:rPr>
        <w:t>entro il 17 febbraio 2019</w:t>
      </w:r>
      <w:r w:rsidR="001767E7">
        <w:rPr>
          <w:bCs/>
        </w:rPr>
        <w:t>,</w:t>
      </w:r>
      <w:r w:rsidR="00AF1E72">
        <w:rPr>
          <w:bCs/>
        </w:rPr>
        <w:t xml:space="preserve"> </w:t>
      </w:r>
      <w:r>
        <w:rPr>
          <w:bCs/>
        </w:rPr>
        <w:t>per i contenitori –</w:t>
      </w:r>
      <w:r w:rsidR="00FE2AE2">
        <w:rPr>
          <w:bCs/>
        </w:rPr>
        <w:t xml:space="preserve"> </w:t>
      </w:r>
      <w:r>
        <w:rPr>
          <w:bCs/>
        </w:rPr>
        <w:t xml:space="preserve">serbatoi </w:t>
      </w:r>
      <w:r w:rsidR="00FE2AE2">
        <w:rPr>
          <w:bCs/>
        </w:rPr>
        <w:t>di</w:t>
      </w:r>
      <w:r>
        <w:rPr>
          <w:bCs/>
        </w:rPr>
        <w:t xml:space="preserve"> capacità inferiore a 6 mc</w:t>
      </w:r>
      <w:r w:rsidR="00FE2AE2">
        <w:rPr>
          <w:bCs/>
        </w:rPr>
        <w:t xml:space="preserve">; senza la quale ricorrerebbero  gli </w:t>
      </w:r>
      <w:r w:rsidR="00A54EE1">
        <w:rPr>
          <w:bCs/>
        </w:rPr>
        <w:t>a</w:t>
      </w:r>
      <w:r w:rsidR="001767E7">
        <w:rPr>
          <w:bCs/>
        </w:rPr>
        <w:t>dempimenti</w:t>
      </w:r>
      <w:r w:rsidR="00A54EE1">
        <w:rPr>
          <w:bCs/>
        </w:rPr>
        <w:t xml:space="preserve"> </w:t>
      </w:r>
      <w:r w:rsidR="001767E7">
        <w:rPr>
          <w:bCs/>
        </w:rPr>
        <w:t>contenuti nel D</w:t>
      </w:r>
      <w:r w:rsidR="00836D5E">
        <w:rPr>
          <w:bCs/>
        </w:rPr>
        <w:t>.</w:t>
      </w:r>
      <w:r w:rsidR="001767E7">
        <w:rPr>
          <w:bCs/>
        </w:rPr>
        <w:t>M</w:t>
      </w:r>
      <w:r w:rsidR="00836D5E">
        <w:rPr>
          <w:bCs/>
        </w:rPr>
        <w:t>.</w:t>
      </w:r>
      <w:r w:rsidR="001767E7">
        <w:rPr>
          <w:bCs/>
        </w:rPr>
        <w:t xml:space="preserve"> 22 novembre 2017</w:t>
      </w:r>
      <w:r w:rsidR="00A54EE1">
        <w:rPr>
          <w:bCs/>
        </w:rPr>
        <w:t xml:space="preserve"> (</w:t>
      </w:r>
      <w:r w:rsidR="001767E7">
        <w:rPr>
          <w:bCs/>
        </w:rPr>
        <w:t xml:space="preserve">ad esempio nuove caratteristiche tecniche dei </w:t>
      </w:r>
      <w:r w:rsidR="00A54EE1">
        <w:rPr>
          <w:bCs/>
        </w:rPr>
        <w:t>bacini di contenimento)</w:t>
      </w:r>
      <w:r>
        <w:rPr>
          <w:bCs/>
        </w:rPr>
        <w:t xml:space="preserve">. </w:t>
      </w:r>
    </w:p>
    <w:p w:rsidR="00FE2AE2" w:rsidRDefault="00FE2AE2" w:rsidP="009D6792">
      <w:pPr>
        <w:jc w:val="both"/>
        <w:rPr>
          <w:bCs/>
        </w:rPr>
      </w:pPr>
    </w:p>
    <w:p w:rsidR="0038268C" w:rsidRDefault="00A54EE1" w:rsidP="009D6792">
      <w:pPr>
        <w:jc w:val="both"/>
      </w:pPr>
      <w:r>
        <w:rPr>
          <w:bCs/>
        </w:rPr>
        <w:t xml:space="preserve">Dopo un confronto con </w:t>
      </w:r>
      <w:r w:rsidR="001767E7">
        <w:rPr>
          <w:bCs/>
        </w:rPr>
        <w:t xml:space="preserve">gli uffici competenti </w:t>
      </w:r>
      <w:r>
        <w:rPr>
          <w:bCs/>
        </w:rPr>
        <w:t xml:space="preserve">del Dipartimento dei Vigili del Fuoco del Ministero dell’Interno, </w:t>
      </w:r>
      <w:r w:rsidR="001767E7">
        <w:rPr>
          <w:bCs/>
        </w:rPr>
        <w:t>nel riportare di seguito la</w:t>
      </w:r>
      <w:r>
        <w:rPr>
          <w:bCs/>
        </w:rPr>
        <w:t xml:space="preserve"> tabella </w:t>
      </w:r>
      <w:r w:rsidR="001767E7">
        <w:rPr>
          <w:bCs/>
        </w:rPr>
        <w:t>de</w:t>
      </w:r>
      <w:r>
        <w:rPr>
          <w:bCs/>
        </w:rPr>
        <w:t xml:space="preserve">gli </w:t>
      </w:r>
      <w:r w:rsidR="001767E7">
        <w:rPr>
          <w:bCs/>
        </w:rPr>
        <w:t>adempimenti per le imprese agricole</w:t>
      </w:r>
      <w:r w:rsidR="000B2C15">
        <w:rPr>
          <w:bCs/>
        </w:rPr>
        <w:t xml:space="preserve"> (in grassetto le ulteriori istruzioni fornite rispetto alla tabella già inviata i precedenza)</w:t>
      </w:r>
      <w:r w:rsidR="001767E7">
        <w:rPr>
          <w:bCs/>
        </w:rPr>
        <w:t xml:space="preserve">, si sottolinea che l’obbligo di presentare al SUAP la comunicazione di attivazione dei contenitori è prevista solo nel caso </w:t>
      </w:r>
      <w:r w:rsidR="006F6CD5">
        <w:rPr>
          <w:bCs/>
        </w:rPr>
        <w:t xml:space="preserve">la stessa </w:t>
      </w:r>
      <w:r w:rsidR="001767E7">
        <w:rPr>
          <w:bCs/>
        </w:rPr>
        <w:t>sia disciplinata da legislazione regionale/comunale. Non è stato introdotto alcun adempimento di questo tipo dalla legislazione nazionale.</w:t>
      </w:r>
    </w:p>
    <w:p w:rsidR="00580080" w:rsidRDefault="00580080" w:rsidP="009D6792">
      <w:pPr>
        <w:jc w:val="both"/>
      </w:pPr>
    </w:p>
    <w:tbl>
      <w:tblPr>
        <w:tblStyle w:val="Grigliatabella"/>
        <w:tblW w:w="9889" w:type="dxa"/>
        <w:tblLook w:val="04A0"/>
      </w:tblPr>
      <w:tblGrid>
        <w:gridCol w:w="2235"/>
        <w:gridCol w:w="7654"/>
      </w:tblGrid>
      <w:tr w:rsidR="006C57F0" w:rsidRPr="00C5797B" w:rsidTr="001D12EC">
        <w:tc>
          <w:tcPr>
            <w:tcW w:w="2235" w:type="dxa"/>
            <w:shd w:val="pct10" w:color="auto" w:fill="auto"/>
          </w:tcPr>
          <w:p w:rsidR="006C57F0" w:rsidRPr="00C5797B" w:rsidRDefault="006C57F0" w:rsidP="00C21CA7">
            <w:pPr>
              <w:jc w:val="center"/>
              <w:rPr>
                <w:b/>
              </w:rPr>
            </w:pPr>
            <w:r w:rsidRPr="00C5797B">
              <w:rPr>
                <w:b/>
              </w:rPr>
              <w:t>Caso</w:t>
            </w:r>
          </w:p>
        </w:tc>
        <w:tc>
          <w:tcPr>
            <w:tcW w:w="7654" w:type="dxa"/>
            <w:shd w:val="pct10" w:color="auto" w:fill="auto"/>
          </w:tcPr>
          <w:p w:rsidR="006C57F0" w:rsidRPr="00C5797B" w:rsidRDefault="006C57F0" w:rsidP="00C2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rPr>
            </w:pPr>
            <w:r w:rsidRPr="00C5797B">
              <w:rPr>
                <w:b/>
              </w:rPr>
              <w:t>Adempimenti</w:t>
            </w:r>
          </w:p>
        </w:tc>
      </w:tr>
      <w:tr w:rsidR="00355D3F" w:rsidRPr="00C5797B" w:rsidTr="001D12EC">
        <w:tc>
          <w:tcPr>
            <w:tcW w:w="2235" w:type="dxa"/>
          </w:tcPr>
          <w:p w:rsidR="00355D3F" w:rsidRPr="00C5797B" w:rsidRDefault="00355D3F" w:rsidP="001D12EC">
            <w:pPr>
              <w:jc w:val="both"/>
            </w:pPr>
            <w:r w:rsidRPr="00C5797B">
              <w:rPr>
                <w:b/>
              </w:rPr>
              <w:t xml:space="preserve">Per i contenitori – </w:t>
            </w:r>
            <w:r w:rsidRPr="00E62986">
              <w:rPr>
                <w:b/>
              </w:rPr>
              <w:t>distributori</w:t>
            </w:r>
            <w:r w:rsidRPr="00E62986">
              <w:t xml:space="preserve"> </w:t>
            </w:r>
            <w:r w:rsidR="001D12EC" w:rsidRPr="00E62986">
              <w:rPr>
                <w:b/>
                <w:u w:val="single"/>
              </w:rPr>
              <w:t>installati</w:t>
            </w:r>
            <w:r w:rsidRPr="00E62986">
              <w:rPr>
                <w:b/>
                <w:u w:val="single"/>
              </w:rPr>
              <w:t xml:space="preserve"> </w:t>
            </w:r>
            <w:r w:rsidR="001D12EC" w:rsidRPr="00E62986">
              <w:rPr>
                <w:b/>
                <w:u w:val="single"/>
              </w:rPr>
              <w:t>prima del</w:t>
            </w:r>
            <w:r w:rsidRPr="00E62986">
              <w:rPr>
                <w:b/>
                <w:u w:val="single"/>
              </w:rPr>
              <w:t xml:space="preserve"> 5 gennaio 2018</w:t>
            </w:r>
            <w:r w:rsidRPr="00E62986">
              <w:rPr>
                <w:b/>
              </w:rPr>
              <w:t xml:space="preserve"> di capacità geometrica</w:t>
            </w:r>
            <w:r w:rsidRPr="00C5797B">
              <w:rPr>
                <w:b/>
              </w:rPr>
              <w:t xml:space="preserve"> inferiore a 6 mc.</w:t>
            </w:r>
          </w:p>
        </w:tc>
        <w:tc>
          <w:tcPr>
            <w:tcW w:w="7654" w:type="dxa"/>
            <w:vMerge w:val="restart"/>
          </w:tcPr>
          <w:p w:rsidR="00355D3F" w:rsidRPr="00C5797B" w:rsidRDefault="00355D3F" w:rsidP="00C21CA7">
            <w:pPr>
              <w:jc w:val="both"/>
            </w:pPr>
            <w:r w:rsidRPr="00C5797B">
              <w:t>Tali contenitori sono esentati dalla richiesta della SCIA.</w:t>
            </w:r>
          </w:p>
          <w:p w:rsidR="00355D3F" w:rsidRDefault="00355D3F" w:rsidP="00C21CA7">
            <w:pPr>
              <w:jc w:val="both"/>
            </w:pPr>
          </w:p>
          <w:p w:rsidR="00355D3F" w:rsidRDefault="00355D3F" w:rsidP="00C21CA7">
            <w:pPr>
              <w:jc w:val="both"/>
            </w:pPr>
            <w:r>
              <w:t xml:space="preserve">Sono esentati dall’adeguamento al Dm 22  novembre 2017 se in possesso di </w:t>
            </w:r>
            <w:r w:rsidRPr="00C5797B">
              <w:t>atti abilitativi riguardanti anche la sussistenza dei requisiti di sicurezza antincendio, rilasciati dalle competenti autorità (ai sensi del comma 1 dell’art. 38 del dl 69/13, convertito, con modificazioni, dalla legge 9/13)</w:t>
            </w:r>
            <w:r>
              <w:t>.</w:t>
            </w:r>
          </w:p>
          <w:p w:rsidR="00355D3F" w:rsidRDefault="00355D3F" w:rsidP="00C21CA7">
            <w:pPr>
              <w:jc w:val="both"/>
            </w:pPr>
          </w:p>
          <w:p w:rsidR="00355D3F" w:rsidRDefault="00355D3F" w:rsidP="0035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97B">
              <w:t>In ogni caso non si devono adeguare alle disposizioni relative ai bacini di contenimento</w:t>
            </w:r>
            <w:r w:rsidR="002E5E73">
              <w:t>.</w:t>
            </w:r>
          </w:p>
          <w:p w:rsidR="002E5E73" w:rsidRDefault="002E5E73" w:rsidP="0035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5D3F" w:rsidRPr="00925DD7" w:rsidRDefault="002E5E73" w:rsidP="002E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25DD7">
              <w:rPr>
                <w:b/>
              </w:rPr>
              <w:t xml:space="preserve">Va ricordato che il </w:t>
            </w:r>
            <w:r w:rsidR="000B2C15">
              <w:rPr>
                <w:b/>
              </w:rPr>
              <w:t xml:space="preserve">comma </w:t>
            </w:r>
            <w:r w:rsidRPr="00925DD7">
              <w:rPr>
                <w:b/>
              </w:rPr>
              <w:t xml:space="preserve">13-bis </w:t>
            </w:r>
            <w:r w:rsidR="000B2C15">
              <w:rPr>
                <w:b/>
              </w:rPr>
              <w:t xml:space="preserve">dell’art. 14 </w:t>
            </w:r>
            <w:r w:rsidRPr="00925DD7">
              <w:rPr>
                <w:b/>
              </w:rPr>
              <w:t>del d</w:t>
            </w:r>
            <w:r w:rsidR="00366A70">
              <w:rPr>
                <w:b/>
              </w:rPr>
              <w:t>.</w:t>
            </w:r>
            <w:r w:rsidRPr="00925DD7">
              <w:rPr>
                <w:b/>
              </w:rPr>
              <w:t>lgs 99/2004 ha previsto che i  depositi di prodotti petroliferi impiegati nell'esercizio delle attività di cui all'articolo 2135 del codice civile e ubicati all'interno delle aziende agricole, ancorché attrezzati come impianti per il rifornimento delle macchine agricole, non sono soggetti alle disposizioni di cui al decreto legisl</w:t>
            </w:r>
            <w:r w:rsidR="006F6CD5">
              <w:rPr>
                <w:b/>
              </w:rPr>
              <w:t>ativo 11 febbraio 1998, n. 32, e</w:t>
            </w:r>
            <w:r w:rsidRPr="00925DD7">
              <w:rPr>
                <w:b/>
              </w:rPr>
              <w:t>d in particolare non sono soggetti all’autorizzazione per l'installazione e per l'esercizio di nuovi impianti a</w:t>
            </w:r>
            <w:r w:rsidR="006F6CD5">
              <w:rPr>
                <w:b/>
              </w:rPr>
              <w:t>d</w:t>
            </w:r>
            <w:r w:rsidRPr="00925DD7">
              <w:rPr>
                <w:b/>
              </w:rPr>
              <w:t xml:space="preserve"> uso privato per la distribuzione di carburanti a uso esclusivo di imprese produttive e di servizi, rilasciata dal comune</w:t>
            </w:r>
            <w:r w:rsidR="000B2C15">
              <w:rPr>
                <w:b/>
              </w:rPr>
              <w:t xml:space="preserve"> (compresi quelli già esistenti alla data di entrata in vigore del d.lgs. 32/98)</w:t>
            </w:r>
            <w:r w:rsidRPr="00925DD7">
              <w:rPr>
                <w:b/>
              </w:rPr>
              <w:t>.</w:t>
            </w:r>
          </w:p>
          <w:p w:rsidR="002E5E73" w:rsidRPr="002E5E73" w:rsidRDefault="002E5E73" w:rsidP="002E5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55D3F" w:rsidRPr="002F3F53" w:rsidRDefault="00355D3F" w:rsidP="00060F37">
            <w:pPr>
              <w:autoSpaceDE w:val="0"/>
              <w:autoSpaceDN w:val="0"/>
              <w:adjustRightInd w:val="0"/>
              <w:jc w:val="both"/>
            </w:pPr>
            <w:r w:rsidRPr="006C57F0">
              <w:rPr>
                <w:b/>
              </w:rPr>
              <w:t xml:space="preserve">Va precisato che gli unici atti abilitativi riguardanti anche la sussistenza dei requisiti di sicurezza antincendio </w:t>
            </w:r>
            <w:r>
              <w:rPr>
                <w:b/>
              </w:rPr>
              <w:t>stabiliti a livello nazionale</w:t>
            </w:r>
            <w:r w:rsidRPr="006C57F0">
              <w:rPr>
                <w:b/>
              </w:rPr>
              <w:t xml:space="preserve"> fanno riferimento </w:t>
            </w:r>
            <w:r w:rsidR="00060F37">
              <w:rPr>
                <w:b/>
              </w:rPr>
              <w:t xml:space="preserve">alle </w:t>
            </w:r>
            <w:r w:rsidR="00060F37" w:rsidRPr="00060F37">
              <w:rPr>
                <w:b/>
              </w:rPr>
              <w:t>idonee misure per prevenire</w:t>
            </w:r>
            <w:r w:rsidR="00060F37">
              <w:rPr>
                <w:b/>
              </w:rPr>
              <w:t xml:space="preserve"> </w:t>
            </w:r>
            <w:r w:rsidR="00060F37" w:rsidRPr="00060F37">
              <w:rPr>
                <w:b/>
              </w:rPr>
              <w:t>gli incendi</w:t>
            </w:r>
            <w:r w:rsidR="00060F37">
              <w:rPr>
                <w:rFonts w:ascii="Arial" w:hAnsi="Arial" w:cs="Arial"/>
                <w:sz w:val="20"/>
                <w:szCs w:val="20"/>
                <w:lang w:eastAsia="en-US"/>
              </w:rPr>
              <w:t xml:space="preserve"> </w:t>
            </w:r>
            <w:r>
              <w:rPr>
                <w:b/>
              </w:rPr>
              <w:t>nell’ambito</w:t>
            </w:r>
            <w:r w:rsidR="00060F37">
              <w:rPr>
                <w:b/>
              </w:rPr>
              <w:t xml:space="preserve"> delle regole del D.Lgs 81/2008, </w:t>
            </w:r>
            <w:r>
              <w:rPr>
                <w:b/>
              </w:rPr>
              <w:t xml:space="preserve">del Dm 10 marzo 1998 e </w:t>
            </w:r>
            <w:r w:rsidR="00060F37">
              <w:rPr>
                <w:b/>
              </w:rPr>
              <w:t xml:space="preserve">delle condizioni per l’installazione indicate </w:t>
            </w:r>
            <w:r>
              <w:rPr>
                <w:b/>
              </w:rPr>
              <w:t>nel DM 19 marzo 1990</w:t>
            </w:r>
            <w:r w:rsidR="000B2C15">
              <w:rPr>
                <w:b/>
              </w:rPr>
              <w:t xml:space="preserve"> (</w:t>
            </w:r>
            <w:r w:rsidR="000B2C15" w:rsidRPr="006F6CD5">
              <w:t>a</w:t>
            </w:r>
            <w:r w:rsidR="00060F37" w:rsidRPr="002F3F53">
              <w:t xml:space="preserve"> titolo esemplificativo </w:t>
            </w:r>
            <w:r w:rsidR="00620469" w:rsidRPr="002F3F53">
              <w:t xml:space="preserve">l’omologazione dei distributori, </w:t>
            </w:r>
            <w:r w:rsidR="00060F37" w:rsidRPr="002F3F53">
              <w:t>la</w:t>
            </w:r>
            <w:r w:rsidR="00060F37" w:rsidRPr="002F3F53">
              <w:rPr>
                <w:color w:val="FF0000"/>
              </w:rPr>
              <w:t xml:space="preserve"> </w:t>
            </w:r>
            <w:r w:rsidR="00060F37" w:rsidRPr="002F3F53">
              <w:t xml:space="preserve">distanza di protezione e la distanza di sicurezza, la tettoia, </w:t>
            </w:r>
            <w:r w:rsidR="00620469" w:rsidRPr="002F3F53">
              <w:t xml:space="preserve">gli estintori, </w:t>
            </w:r>
            <w:r w:rsidR="006F6CD5">
              <w:t xml:space="preserve">la </w:t>
            </w:r>
            <w:r w:rsidR="00620469" w:rsidRPr="002F3F53">
              <w:t>formazione la</w:t>
            </w:r>
            <w:r w:rsidR="000B2C15">
              <w:t xml:space="preserve">voratori e designazione addetti, </w:t>
            </w:r>
            <w:r w:rsidR="006F6CD5">
              <w:t xml:space="preserve">la </w:t>
            </w:r>
            <w:r w:rsidR="00620469" w:rsidRPr="002F3F53">
              <w:t xml:space="preserve">manutenzione ed i controlli sugli impianti e sulle attrezzature di protezione antincendio </w:t>
            </w:r>
            <w:r w:rsidR="000B2C15">
              <w:t>-</w:t>
            </w:r>
            <w:r w:rsidR="006F6CD5">
              <w:t xml:space="preserve"> gli</w:t>
            </w:r>
            <w:r w:rsidR="000B2C15">
              <w:t xml:space="preserve"> </w:t>
            </w:r>
            <w:r w:rsidR="00620469" w:rsidRPr="002F3F53">
              <w:t xml:space="preserve">estintori). </w:t>
            </w:r>
          </w:p>
          <w:p w:rsidR="00C722E6" w:rsidRDefault="00C722E6" w:rsidP="00C21CA7">
            <w:pPr>
              <w:jc w:val="both"/>
              <w:rPr>
                <w:b/>
              </w:rPr>
            </w:pPr>
          </w:p>
          <w:p w:rsidR="00060F37" w:rsidRDefault="00C722E6" w:rsidP="00C21CA7">
            <w:pPr>
              <w:jc w:val="both"/>
              <w:rPr>
                <w:b/>
              </w:rPr>
            </w:pPr>
            <w:r w:rsidRPr="00B14DA6">
              <w:rPr>
                <w:b/>
              </w:rPr>
              <w:lastRenderedPageBreak/>
              <w:t>Pertanto, si consiglia di effettuare una verifica delle misure di prevenzione incendi implementate in azienda con riferimento al</w:t>
            </w:r>
            <w:r w:rsidR="000B2C15">
              <w:rPr>
                <w:b/>
              </w:rPr>
              <w:t>la presenza</w:t>
            </w:r>
            <w:r w:rsidRPr="00B14DA6">
              <w:rPr>
                <w:b/>
              </w:rPr>
              <w:t xml:space="preserve"> di un </w:t>
            </w:r>
            <w:r w:rsidR="000B2C15">
              <w:rPr>
                <w:b/>
              </w:rPr>
              <w:t>serbatoio</w:t>
            </w:r>
            <w:r>
              <w:rPr>
                <w:b/>
              </w:rPr>
              <w:t>.</w:t>
            </w:r>
          </w:p>
          <w:p w:rsidR="00C722E6" w:rsidRPr="002F3F53" w:rsidRDefault="00C722E6" w:rsidP="00C21CA7">
            <w:pPr>
              <w:jc w:val="both"/>
            </w:pPr>
          </w:p>
          <w:p w:rsidR="00355D3F" w:rsidRPr="00B14DA6" w:rsidRDefault="00355D3F" w:rsidP="00FA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Posto ciò alcune Regioni,</w:t>
            </w:r>
            <w:r w:rsidR="002E5E73">
              <w:t xml:space="preserve"> </w:t>
            </w:r>
            <w:r w:rsidR="00122174">
              <w:t>(da verificare ad esempio la legislazione della Toscana)</w:t>
            </w:r>
            <w:r w:rsidR="002E5E73">
              <w:t xml:space="preserve">, al fine di effettuare una </w:t>
            </w:r>
            <w:r>
              <w:t xml:space="preserve"> ricognizione dei depositi esistenti</w:t>
            </w:r>
            <w:r w:rsidR="002E5E73">
              <w:t>,</w:t>
            </w:r>
            <w:r>
              <w:t xml:space="preserve"> hanno emanato una Legge regionale introducendo una </w:t>
            </w:r>
            <w:r w:rsidRPr="002E5E73">
              <w:rPr>
                <w:i/>
              </w:rPr>
              <w:t>Comunicazione di attivazione di contenitori distributori mobili ad uso privato all’interno di attività agricole e agromeccaniche,</w:t>
            </w:r>
            <w:r>
              <w:t xml:space="preserve"> da inviare al SUAP. </w:t>
            </w:r>
            <w:bookmarkStart w:id="0" w:name="_GoBack"/>
            <w:r w:rsidR="000B2C15" w:rsidRPr="006F6CD5">
              <w:rPr>
                <w:b/>
              </w:rPr>
              <w:t>Pertanto, a nostro avviso, t</w:t>
            </w:r>
            <w:r w:rsidRPr="006F6CD5">
              <w:rPr>
                <w:b/>
              </w:rPr>
              <w:t>ale</w:t>
            </w:r>
            <w:r w:rsidRPr="00B14DA6">
              <w:rPr>
                <w:b/>
              </w:rPr>
              <w:t xml:space="preserve"> </w:t>
            </w:r>
            <w:bookmarkEnd w:id="0"/>
            <w:r w:rsidRPr="00B14DA6">
              <w:rPr>
                <w:b/>
              </w:rPr>
              <w:t>comunicazione è obbligatoria solo nelle Regioni che hanno legiferato in tal senso.</w:t>
            </w:r>
          </w:p>
          <w:p w:rsidR="00355D3F" w:rsidRDefault="00355D3F" w:rsidP="00FA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55D3F" w:rsidRPr="00B14DA6" w:rsidRDefault="00355D3F" w:rsidP="00FA1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B14DA6">
              <w:rPr>
                <w:b/>
              </w:rPr>
              <w:t>Nelle altre Regioni vale quanto detto in precedenza, eventuali Comunicazioni al SUAP sono facoltative e non escludono, in caso di controllo dei Vigili del Fuoco, dalla necessità di ottemperare alle misure di prevenzione previst</w:t>
            </w:r>
            <w:r w:rsidR="000B2C15">
              <w:rPr>
                <w:b/>
              </w:rPr>
              <w:t>e</w:t>
            </w:r>
            <w:r w:rsidRPr="00B14DA6">
              <w:rPr>
                <w:b/>
              </w:rPr>
              <w:t xml:space="preserve"> dal D.lgs 81/2008 sopra richiamati.</w:t>
            </w:r>
          </w:p>
          <w:p w:rsidR="00355D3F" w:rsidRPr="00B14DA6" w:rsidRDefault="00355D3F" w:rsidP="00C72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tc>
      </w:tr>
      <w:tr w:rsidR="00355D3F" w:rsidRPr="00C5797B" w:rsidTr="001D12EC">
        <w:trPr>
          <w:trHeight w:val="1802"/>
        </w:trPr>
        <w:tc>
          <w:tcPr>
            <w:tcW w:w="2235" w:type="dxa"/>
          </w:tcPr>
          <w:p w:rsidR="00355D3F" w:rsidRPr="00C5797B" w:rsidRDefault="00355D3F" w:rsidP="00355D3F">
            <w:pPr>
              <w:jc w:val="both"/>
            </w:pPr>
            <w:r w:rsidRPr="00C5797B">
              <w:rPr>
                <w:b/>
              </w:rPr>
              <w:t xml:space="preserve">Per i contenitori – distributori di capacità geometrica inferiore a 6 mc </w:t>
            </w:r>
            <w:r w:rsidRPr="00C5797B">
              <w:rPr>
                <w:b/>
                <w:u w:val="single"/>
              </w:rPr>
              <w:t>prodotti prima del 5 gennaio e installati prima del 17 febbraio 2019</w:t>
            </w:r>
            <w:r w:rsidRPr="00C5797B">
              <w:rPr>
                <w:b/>
              </w:rPr>
              <w:t>.</w:t>
            </w:r>
            <w:r w:rsidRPr="00C5797B">
              <w:rPr>
                <w:color w:val="FF0000"/>
              </w:rPr>
              <w:t xml:space="preserve"> </w:t>
            </w:r>
          </w:p>
        </w:tc>
        <w:tc>
          <w:tcPr>
            <w:tcW w:w="7654" w:type="dxa"/>
            <w:vMerge/>
          </w:tcPr>
          <w:p w:rsidR="00355D3F" w:rsidRPr="00C5797B" w:rsidRDefault="00355D3F" w:rsidP="00355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darkYellow"/>
              </w:rPr>
            </w:pPr>
          </w:p>
        </w:tc>
      </w:tr>
      <w:tr w:rsidR="006C57F0" w:rsidRPr="00C5797B" w:rsidTr="001D12EC">
        <w:tc>
          <w:tcPr>
            <w:tcW w:w="2235" w:type="dxa"/>
          </w:tcPr>
          <w:p w:rsidR="006C57F0" w:rsidRPr="00C5797B" w:rsidRDefault="006C57F0" w:rsidP="00C21CA7">
            <w:pPr>
              <w:jc w:val="both"/>
              <w:rPr>
                <w:b/>
              </w:rPr>
            </w:pPr>
            <w:r w:rsidRPr="00C5797B">
              <w:rPr>
                <w:b/>
              </w:rPr>
              <w:lastRenderedPageBreak/>
              <w:t xml:space="preserve">Per i contenitori – distributori di capacità geometrica inferiore a 6 mc </w:t>
            </w:r>
            <w:r w:rsidRPr="00C5797B">
              <w:rPr>
                <w:b/>
                <w:u w:val="single"/>
              </w:rPr>
              <w:t>prodotti dopo i</w:t>
            </w:r>
            <w:r w:rsidR="00C313A8">
              <w:rPr>
                <w:b/>
                <w:u w:val="single"/>
              </w:rPr>
              <w:t xml:space="preserve">l 5 gennaio/installati dopo il </w:t>
            </w:r>
            <w:r w:rsidRPr="00C5797B">
              <w:rPr>
                <w:b/>
                <w:u w:val="single"/>
              </w:rPr>
              <w:t>17 febbraio 2019</w:t>
            </w:r>
            <w:r w:rsidRPr="00C5797B">
              <w:rPr>
                <w:b/>
              </w:rPr>
              <w:t>.</w:t>
            </w:r>
          </w:p>
        </w:tc>
        <w:tc>
          <w:tcPr>
            <w:tcW w:w="7654" w:type="dxa"/>
          </w:tcPr>
          <w:p w:rsidR="006C57F0" w:rsidRDefault="006C57F0" w:rsidP="00C21CA7">
            <w:pPr>
              <w:jc w:val="both"/>
            </w:pPr>
            <w:r w:rsidRPr="00C5797B">
              <w:t>Non è necessario richiedere la SCIA.</w:t>
            </w:r>
          </w:p>
          <w:p w:rsidR="005140CB" w:rsidRPr="00C5797B" w:rsidRDefault="005140CB" w:rsidP="00C21CA7">
            <w:pPr>
              <w:jc w:val="both"/>
            </w:pPr>
          </w:p>
          <w:p w:rsidR="006C57F0" w:rsidRPr="00C5797B" w:rsidRDefault="006C57F0" w:rsidP="00C21CA7">
            <w:pPr>
              <w:jc w:val="both"/>
            </w:pPr>
            <w:r w:rsidRPr="00C5797B">
              <w:t>Occorre rispettare la regola tecnica del DM 22 novembre 2017</w:t>
            </w:r>
            <w:r w:rsidR="001D12EC">
              <w:t xml:space="preserve"> e tutte le</w:t>
            </w:r>
            <w:r w:rsidR="002B2B97">
              <w:t xml:space="preserve"> misure di prevenzione previste, laddove </w:t>
            </w:r>
            <w:r w:rsidR="00710A59">
              <w:t>applicabili</w:t>
            </w:r>
            <w:r w:rsidR="002B2B97">
              <w:t>,</w:t>
            </w:r>
            <w:r w:rsidR="00710A59">
              <w:t xml:space="preserve"> </w:t>
            </w:r>
            <w:r w:rsidR="001D12EC" w:rsidRPr="001D12EC">
              <w:t>nell’ambito delle regole del D.Lgs 81/2008 ed in p</w:t>
            </w:r>
            <w:r w:rsidR="00710A59">
              <w:t>articolare del Dm 10 marzo 1998.</w:t>
            </w:r>
          </w:p>
          <w:p w:rsidR="006C57F0" w:rsidRPr="00C5797B" w:rsidRDefault="006C57F0" w:rsidP="00C21CA7">
            <w:pPr>
              <w:jc w:val="both"/>
            </w:pPr>
          </w:p>
        </w:tc>
      </w:tr>
      <w:tr w:rsidR="006C57F0" w:rsidRPr="00C5797B" w:rsidTr="006C57F0">
        <w:tc>
          <w:tcPr>
            <w:tcW w:w="9889" w:type="dxa"/>
            <w:gridSpan w:val="2"/>
          </w:tcPr>
          <w:p w:rsidR="006C57F0" w:rsidRPr="00C5797B" w:rsidRDefault="006C57F0" w:rsidP="00C21CA7">
            <w:pPr>
              <w:jc w:val="both"/>
            </w:pPr>
          </w:p>
        </w:tc>
      </w:tr>
      <w:tr w:rsidR="006C57F0" w:rsidRPr="00C5797B" w:rsidTr="001D12EC">
        <w:tc>
          <w:tcPr>
            <w:tcW w:w="2235" w:type="dxa"/>
          </w:tcPr>
          <w:p w:rsidR="006C57F0" w:rsidRPr="00E62986" w:rsidRDefault="006C57F0" w:rsidP="00C21CA7">
            <w:pPr>
              <w:jc w:val="both"/>
              <w:rPr>
                <w:b/>
                <w:u w:val="single"/>
              </w:rPr>
            </w:pPr>
            <w:r w:rsidRPr="00E62986">
              <w:rPr>
                <w:b/>
              </w:rPr>
              <w:t xml:space="preserve">Per i contenitori – distributori </w:t>
            </w:r>
            <w:r w:rsidR="00C313A8" w:rsidRPr="00E62986">
              <w:rPr>
                <w:b/>
                <w:u w:val="single"/>
              </w:rPr>
              <w:t>installati prima del 5 gennaio 2018</w:t>
            </w:r>
            <w:r w:rsidR="00C313A8" w:rsidRPr="00E62986">
              <w:rPr>
                <w:b/>
              </w:rPr>
              <w:t xml:space="preserve"> </w:t>
            </w:r>
            <w:r w:rsidRPr="00E62986">
              <w:rPr>
                <w:b/>
              </w:rPr>
              <w:t xml:space="preserve"> di capacità geometrica tra 6 mc e 9 mc </w:t>
            </w:r>
            <w:r w:rsidRPr="00E62986">
              <w:rPr>
                <w:b/>
                <w:u w:val="single"/>
              </w:rPr>
              <w:t xml:space="preserve">in possesso della SCIA </w:t>
            </w:r>
          </w:p>
          <w:p w:rsidR="006C57F0" w:rsidRPr="00E62986" w:rsidRDefault="006C57F0" w:rsidP="00C21CA7">
            <w:pPr>
              <w:jc w:val="both"/>
            </w:pPr>
          </w:p>
        </w:tc>
        <w:tc>
          <w:tcPr>
            <w:tcW w:w="7654" w:type="dxa"/>
          </w:tcPr>
          <w:p w:rsidR="006C57F0" w:rsidRDefault="00A85014" w:rsidP="00C21CA7">
            <w:pPr>
              <w:jc w:val="both"/>
            </w:pPr>
            <w:r>
              <w:t>Non sono soggetti all’adeguamento alla</w:t>
            </w:r>
            <w:r w:rsidR="006C57F0" w:rsidRPr="00C5797B">
              <w:t xml:space="preserve"> regola tecnica di cui al D.M. 22 novembre 2017 poiché rientrano nell’esenzione dal campo di applicazione della lettera b), comma 2, articolo 4. </w:t>
            </w:r>
          </w:p>
          <w:p w:rsidR="00A85014" w:rsidRDefault="00A85014" w:rsidP="00C21CA7">
            <w:pPr>
              <w:jc w:val="both"/>
            </w:pPr>
          </w:p>
          <w:p w:rsidR="00A85014" w:rsidRPr="00C5797B" w:rsidRDefault="00A85014" w:rsidP="00C21CA7">
            <w:pPr>
              <w:jc w:val="both"/>
            </w:pPr>
          </w:p>
        </w:tc>
      </w:tr>
      <w:tr w:rsidR="006C57F0" w:rsidRPr="00C5797B" w:rsidTr="001D12EC">
        <w:tc>
          <w:tcPr>
            <w:tcW w:w="2235" w:type="dxa"/>
          </w:tcPr>
          <w:p w:rsidR="006C57F0" w:rsidRPr="00E62986" w:rsidRDefault="006C57F0" w:rsidP="00C21CA7">
            <w:pPr>
              <w:jc w:val="both"/>
            </w:pPr>
            <w:r w:rsidRPr="00E62986">
              <w:rPr>
                <w:b/>
              </w:rPr>
              <w:t xml:space="preserve">Per i contenitori – distributori </w:t>
            </w:r>
            <w:r w:rsidR="00FE5596" w:rsidRPr="00E62986">
              <w:rPr>
                <w:b/>
                <w:u w:val="single"/>
              </w:rPr>
              <w:t xml:space="preserve">installati prima del 5 gennaio 2018 </w:t>
            </w:r>
            <w:r w:rsidRPr="00E62986">
              <w:rPr>
                <w:b/>
              </w:rPr>
              <w:t xml:space="preserve">di capacità geometrica tra 6 mc e 9 mc </w:t>
            </w:r>
            <w:r w:rsidRPr="00E62986">
              <w:rPr>
                <w:b/>
                <w:u w:val="single"/>
              </w:rPr>
              <w:t>senza la SCIA</w:t>
            </w:r>
            <w:r w:rsidRPr="00E62986">
              <w:rPr>
                <w:b/>
              </w:rPr>
              <w:t xml:space="preserve"> </w:t>
            </w:r>
          </w:p>
        </w:tc>
        <w:tc>
          <w:tcPr>
            <w:tcW w:w="7654" w:type="dxa"/>
          </w:tcPr>
          <w:p w:rsidR="00A85014" w:rsidRDefault="006C57F0" w:rsidP="00C21CA7">
            <w:pPr>
              <w:jc w:val="both"/>
            </w:pPr>
            <w:r w:rsidRPr="00C5797B">
              <w:t xml:space="preserve">In relazione a quanto indicato dalla Direzione competente del Ministero che conferma la nostra interpretazione, </w:t>
            </w:r>
            <w:r w:rsidR="00A85014">
              <w:t>è possibile richiedere</w:t>
            </w:r>
            <w:r w:rsidRPr="00C5797B">
              <w:t xml:space="preserve"> la </w:t>
            </w:r>
            <w:r w:rsidR="00A85014">
              <w:t>SCIA entro il 17 febbraio 2019 per essere esentati dall’adeguamento alla regola tecnica .</w:t>
            </w:r>
          </w:p>
          <w:p w:rsidR="00A85014" w:rsidRDefault="00A85014" w:rsidP="00C21CA7">
            <w:pPr>
              <w:jc w:val="both"/>
            </w:pPr>
          </w:p>
          <w:p w:rsidR="006C57F0" w:rsidRPr="00C5797B" w:rsidRDefault="006C57F0" w:rsidP="00C21CA7">
            <w:pPr>
              <w:jc w:val="both"/>
            </w:pPr>
            <w:r w:rsidRPr="00C5797B">
              <w:t>Ciò in virtù del fatto che il D.M. 10 maggio 2018 permette entro la predetta data l’installazione dei contenitori prodotti prima del 5 gennaio 2018 secondo le regole del DM 19 marzo 1990. Questa impostazione, a nostro avviso, permette anche a quelli già installati e conformi al D.M. 19 marzo 1990 di potersi regolarizzare richiedendo la SCIA.</w:t>
            </w:r>
          </w:p>
          <w:p w:rsidR="006C57F0" w:rsidRPr="00C5797B" w:rsidRDefault="006C57F0" w:rsidP="00A85014">
            <w:pPr>
              <w:jc w:val="both"/>
            </w:pPr>
          </w:p>
        </w:tc>
      </w:tr>
      <w:tr w:rsidR="006C57F0" w:rsidRPr="00C5797B" w:rsidTr="001D12EC">
        <w:tc>
          <w:tcPr>
            <w:tcW w:w="2235" w:type="dxa"/>
          </w:tcPr>
          <w:p w:rsidR="006C57F0" w:rsidRPr="00E62986" w:rsidRDefault="006C57F0" w:rsidP="00FE5596">
            <w:pPr>
              <w:jc w:val="both"/>
            </w:pPr>
            <w:r w:rsidRPr="00E62986">
              <w:rPr>
                <w:b/>
              </w:rPr>
              <w:t xml:space="preserve">Per i contenitori – distributori di capacità geometrica tra 6 e 9 mc </w:t>
            </w:r>
            <w:r w:rsidRPr="00E62986">
              <w:rPr>
                <w:b/>
                <w:u w:val="single"/>
              </w:rPr>
              <w:t>prodotti prima del 5 gennaio e installati prima del 17 febbraio 2019</w:t>
            </w:r>
            <w:r w:rsidRPr="00E62986">
              <w:rPr>
                <w:b/>
              </w:rPr>
              <w:t>.</w:t>
            </w:r>
            <w:r w:rsidRPr="00E62986">
              <w:rPr>
                <w:color w:val="FF0000"/>
              </w:rPr>
              <w:t xml:space="preserve"> </w:t>
            </w:r>
          </w:p>
        </w:tc>
        <w:tc>
          <w:tcPr>
            <w:tcW w:w="7654" w:type="dxa"/>
          </w:tcPr>
          <w:p w:rsidR="006C57F0" w:rsidRPr="00C5797B" w:rsidRDefault="006C57F0" w:rsidP="00C21CA7">
            <w:pPr>
              <w:jc w:val="both"/>
            </w:pPr>
            <w:r w:rsidRPr="00C5797B">
              <w:t xml:space="preserve">Fino al 17 febbraio 2019 è possibile acquistare ed installare i contenitori conformi secondo il D.M. 19 marzo 1990 solo se prodotti prima del 5 gennaio 2018. </w:t>
            </w:r>
          </w:p>
          <w:p w:rsidR="00FC63C6" w:rsidRDefault="00FC63C6" w:rsidP="00C21CA7">
            <w:pPr>
              <w:jc w:val="both"/>
            </w:pPr>
          </w:p>
          <w:p w:rsidR="006C57F0" w:rsidRPr="00C5797B" w:rsidRDefault="006C57F0" w:rsidP="00C21CA7">
            <w:pPr>
              <w:jc w:val="both"/>
            </w:pPr>
            <w:r w:rsidRPr="00C5797B">
              <w:t>Sarà necessario richiedere la SCIA.</w:t>
            </w:r>
          </w:p>
          <w:p w:rsidR="00FC63C6" w:rsidRDefault="00FC63C6" w:rsidP="00C2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C57F0" w:rsidRPr="00C5797B" w:rsidRDefault="006C57F0" w:rsidP="00C2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5797B">
              <w:t xml:space="preserve">Occorrerà comunque verificare che le norme di sicurezza indicate nel D.M. 22 novembre 2017 verranno rispettate ad eccezione degli aspetti che richiedono modifiche costruttive come nel caso dei bacini di contenimento. </w:t>
            </w:r>
          </w:p>
          <w:p w:rsidR="006C57F0" w:rsidRPr="00C5797B" w:rsidRDefault="006C57F0" w:rsidP="00C2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6C57F0" w:rsidRPr="00C5797B" w:rsidTr="001D12EC">
        <w:tc>
          <w:tcPr>
            <w:tcW w:w="2235" w:type="dxa"/>
          </w:tcPr>
          <w:p w:rsidR="006C57F0" w:rsidRPr="00C5797B" w:rsidRDefault="006C57F0" w:rsidP="00FC63C6">
            <w:pPr>
              <w:jc w:val="both"/>
              <w:rPr>
                <w:b/>
              </w:rPr>
            </w:pPr>
            <w:r w:rsidRPr="00C5797B">
              <w:rPr>
                <w:b/>
              </w:rPr>
              <w:t xml:space="preserve">Per i contenitori – distributori di capacità geometrica tra 6 e 9 mc </w:t>
            </w:r>
            <w:r w:rsidRPr="00C5797B">
              <w:rPr>
                <w:b/>
                <w:u w:val="single"/>
              </w:rPr>
              <w:t xml:space="preserve">prodotti </w:t>
            </w:r>
            <w:r w:rsidRPr="00C5797B">
              <w:rPr>
                <w:b/>
                <w:u w:val="single"/>
              </w:rPr>
              <w:lastRenderedPageBreak/>
              <w:t>dopo il 5 gennaio/installati dopo il  17 febbraio 2019</w:t>
            </w:r>
            <w:r w:rsidRPr="00C5797B">
              <w:rPr>
                <w:b/>
              </w:rPr>
              <w:t>.</w:t>
            </w:r>
          </w:p>
        </w:tc>
        <w:tc>
          <w:tcPr>
            <w:tcW w:w="7654" w:type="dxa"/>
          </w:tcPr>
          <w:p w:rsidR="006C57F0" w:rsidRPr="00C5797B" w:rsidRDefault="006C57F0" w:rsidP="00C21CA7">
            <w:pPr>
              <w:jc w:val="both"/>
            </w:pPr>
          </w:p>
          <w:p w:rsidR="006C57F0" w:rsidRPr="00C5797B" w:rsidRDefault="006C57F0" w:rsidP="00C21CA7">
            <w:pPr>
              <w:jc w:val="both"/>
            </w:pPr>
            <w:r w:rsidRPr="00C5797B">
              <w:t>Sarà necessario richiedere la SCIA e rispettare la regola tecnica del DM 22 novembre 2017.</w:t>
            </w:r>
          </w:p>
          <w:p w:rsidR="006C57F0" w:rsidRPr="00C5797B" w:rsidRDefault="006C57F0" w:rsidP="00C21CA7">
            <w:pPr>
              <w:jc w:val="both"/>
            </w:pPr>
          </w:p>
        </w:tc>
      </w:tr>
    </w:tbl>
    <w:p w:rsidR="00A46776" w:rsidRDefault="00A46776" w:rsidP="009D6792">
      <w:pPr>
        <w:jc w:val="both"/>
      </w:pPr>
    </w:p>
    <w:p w:rsidR="00A46776" w:rsidRDefault="00A46776" w:rsidP="009D6792">
      <w:pPr>
        <w:jc w:val="both"/>
      </w:pPr>
    </w:p>
    <w:p w:rsidR="00A46776" w:rsidRDefault="00A46776" w:rsidP="009D6792">
      <w:pPr>
        <w:jc w:val="both"/>
      </w:pPr>
    </w:p>
    <w:sectPr w:rsidR="00A46776" w:rsidSect="001C5900">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9FC" w:rsidRDefault="002109FC" w:rsidP="00EE5C22">
      <w:r>
        <w:separator/>
      </w:r>
    </w:p>
  </w:endnote>
  <w:endnote w:type="continuationSeparator" w:id="0">
    <w:p w:rsidR="002109FC" w:rsidRDefault="002109FC" w:rsidP="00EE5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15185"/>
      <w:docPartObj>
        <w:docPartGallery w:val="Page Numbers (Bottom of Page)"/>
        <w:docPartUnique/>
      </w:docPartObj>
    </w:sdtPr>
    <w:sdtContent>
      <w:p w:rsidR="005A09BA" w:rsidRDefault="00E0278D">
        <w:pPr>
          <w:pStyle w:val="Pidipagina"/>
          <w:jc w:val="right"/>
        </w:pPr>
        <w:r>
          <w:fldChar w:fldCharType="begin"/>
        </w:r>
        <w:r w:rsidR="005A09BA">
          <w:instrText>PAGE   \* MERGEFORMAT</w:instrText>
        </w:r>
        <w:r>
          <w:fldChar w:fldCharType="separate"/>
        </w:r>
        <w:r w:rsidR="00591655">
          <w:rPr>
            <w:noProof/>
          </w:rPr>
          <w:t>1</w:t>
        </w:r>
        <w:r>
          <w:fldChar w:fldCharType="end"/>
        </w:r>
      </w:p>
    </w:sdtContent>
  </w:sdt>
  <w:p w:rsidR="005A09BA" w:rsidRDefault="005A09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9FC" w:rsidRDefault="002109FC" w:rsidP="00EE5C22">
      <w:r>
        <w:separator/>
      </w:r>
    </w:p>
  </w:footnote>
  <w:footnote w:type="continuationSeparator" w:id="0">
    <w:p w:rsidR="002109FC" w:rsidRDefault="002109FC" w:rsidP="00EE5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BA" w:rsidRDefault="005A09BA" w:rsidP="00DB11D0">
    <w:pPr>
      <w:pStyle w:val="Intestazione"/>
    </w:pPr>
  </w:p>
  <w:p w:rsidR="00EE5C22" w:rsidRDefault="00FE29BA">
    <w:pPr>
      <w:pStyle w:val="Intestazione"/>
    </w:pPr>
    <w:r>
      <w:rPr>
        <w:noProof/>
      </w:rPr>
      <w:drawing>
        <wp:inline distT="0" distB="0" distL="0" distR="0">
          <wp:extent cx="1733550" cy="352425"/>
          <wp:effectExtent l="0" t="0" r="0" b="9525"/>
          <wp:docPr id="1" name="Immagine 4" descr="cid:image001.jpg@01D47146.AD9E9E50"/>
          <wp:cNvGraphicFramePr/>
          <a:graphic xmlns:a="http://schemas.openxmlformats.org/drawingml/2006/main">
            <a:graphicData uri="http://schemas.openxmlformats.org/drawingml/2006/picture">
              <pic:pic xmlns:pic="http://schemas.openxmlformats.org/drawingml/2006/picture">
                <pic:nvPicPr>
                  <pic:cNvPr id="1" name="Immagine 4" descr="cid:image001.jpg@01D47146.AD9E9E50"/>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4"/>
    <w:multiLevelType w:val="hybridMultilevel"/>
    <w:tmpl w:val="C0D2ADF2"/>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06E10439"/>
    <w:multiLevelType w:val="hybridMultilevel"/>
    <w:tmpl w:val="4740B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264C82"/>
    <w:multiLevelType w:val="hybridMultilevel"/>
    <w:tmpl w:val="B90A58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792BE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65873FC"/>
    <w:multiLevelType w:val="hybridMultilevel"/>
    <w:tmpl w:val="9D42566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28F09A2"/>
    <w:multiLevelType w:val="hybridMultilevel"/>
    <w:tmpl w:val="EB1C5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33B575E"/>
    <w:multiLevelType w:val="hybridMultilevel"/>
    <w:tmpl w:val="106E8B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4429DE"/>
    <w:multiLevelType w:val="hybridMultilevel"/>
    <w:tmpl w:val="68BA2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B7D1583"/>
    <w:multiLevelType w:val="hybridMultilevel"/>
    <w:tmpl w:val="DB725514"/>
    <w:lvl w:ilvl="0" w:tplc="ECB6C96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884BE4"/>
    <w:multiLevelType w:val="hybridMultilevel"/>
    <w:tmpl w:val="6A8E67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7D02E9"/>
    <w:multiLevelType w:val="hybridMultilevel"/>
    <w:tmpl w:val="C7045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88B4D67"/>
    <w:multiLevelType w:val="hybridMultilevel"/>
    <w:tmpl w:val="F1A033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D04C77"/>
    <w:multiLevelType w:val="hybridMultilevel"/>
    <w:tmpl w:val="6512B90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nsid w:val="547026F0"/>
    <w:multiLevelType w:val="hybridMultilevel"/>
    <w:tmpl w:val="FD4CCEC2"/>
    <w:lvl w:ilvl="0" w:tplc="ECB6C960">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5BA077E"/>
    <w:multiLevelType w:val="hybridMultilevel"/>
    <w:tmpl w:val="5B82E6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8"/>
  </w:num>
  <w:num w:numId="5">
    <w:abstractNumId w:val="2"/>
  </w:num>
  <w:num w:numId="6">
    <w:abstractNumId w:val="10"/>
  </w:num>
  <w:num w:numId="7">
    <w:abstractNumId w:val="9"/>
  </w:num>
  <w:num w:numId="8">
    <w:abstractNumId w:val="6"/>
  </w:num>
  <w:num w:numId="9">
    <w:abstractNumId w:val="14"/>
  </w:num>
  <w:num w:numId="10">
    <w:abstractNumId w:val="7"/>
  </w:num>
  <w:num w:numId="11">
    <w:abstractNumId w:val="1"/>
  </w:num>
  <w:num w:numId="12">
    <w:abstractNumId w:val="12"/>
  </w:num>
  <w:num w:numId="13">
    <w:abstractNumId w:val="11"/>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8194"/>
  </w:hdrShapeDefaults>
  <w:footnotePr>
    <w:footnote w:id="-1"/>
    <w:footnote w:id="0"/>
  </w:footnotePr>
  <w:endnotePr>
    <w:endnote w:id="-1"/>
    <w:endnote w:id="0"/>
  </w:endnotePr>
  <w:compat/>
  <w:rsids>
    <w:rsidRoot w:val="007A001B"/>
    <w:rsid w:val="00002A09"/>
    <w:rsid w:val="00002D18"/>
    <w:rsid w:val="00011C7B"/>
    <w:rsid w:val="00016594"/>
    <w:rsid w:val="000240E3"/>
    <w:rsid w:val="0005477F"/>
    <w:rsid w:val="00057336"/>
    <w:rsid w:val="00060F37"/>
    <w:rsid w:val="00076440"/>
    <w:rsid w:val="0009088D"/>
    <w:rsid w:val="00096743"/>
    <w:rsid w:val="000A1BC8"/>
    <w:rsid w:val="000A31E1"/>
    <w:rsid w:val="000B2C15"/>
    <w:rsid w:val="000F5251"/>
    <w:rsid w:val="001034D6"/>
    <w:rsid w:val="00122174"/>
    <w:rsid w:val="001473BC"/>
    <w:rsid w:val="00151333"/>
    <w:rsid w:val="00152FB3"/>
    <w:rsid w:val="001654B4"/>
    <w:rsid w:val="001767E7"/>
    <w:rsid w:val="00184F08"/>
    <w:rsid w:val="001A134B"/>
    <w:rsid w:val="001A19EB"/>
    <w:rsid w:val="001C5900"/>
    <w:rsid w:val="001D12EC"/>
    <w:rsid w:val="001F1E2E"/>
    <w:rsid w:val="001F2621"/>
    <w:rsid w:val="00200E51"/>
    <w:rsid w:val="00204856"/>
    <w:rsid w:val="00206F6A"/>
    <w:rsid w:val="002102EB"/>
    <w:rsid w:val="002109FC"/>
    <w:rsid w:val="00212ABD"/>
    <w:rsid w:val="00233562"/>
    <w:rsid w:val="00263D5C"/>
    <w:rsid w:val="00266858"/>
    <w:rsid w:val="002A36F6"/>
    <w:rsid w:val="002B2B97"/>
    <w:rsid w:val="002C05C6"/>
    <w:rsid w:val="002E5E73"/>
    <w:rsid w:val="002F3F53"/>
    <w:rsid w:val="00322304"/>
    <w:rsid w:val="00355D3F"/>
    <w:rsid w:val="00360538"/>
    <w:rsid w:val="00362AD6"/>
    <w:rsid w:val="0036568A"/>
    <w:rsid w:val="00366A70"/>
    <w:rsid w:val="00373E18"/>
    <w:rsid w:val="00381C5D"/>
    <w:rsid w:val="0038268C"/>
    <w:rsid w:val="00395590"/>
    <w:rsid w:val="003D2517"/>
    <w:rsid w:val="003D4221"/>
    <w:rsid w:val="003E71DB"/>
    <w:rsid w:val="003F166D"/>
    <w:rsid w:val="00404799"/>
    <w:rsid w:val="004431E7"/>
    <w:rsid w:val="00444857"/>
    <w:rsid w:val="00446CE9"/>
    <w:rsid w:val="00461B0A"/>
    <w:rsid w:val="00465851"/>
    <w:rsid w:val="00470E53"/>
    <w:rsid w:val="004836E3"/>
    <w:rsid w:val="004868D8"/>
    <w:rsid w:val="004A030C"/>
    <w:rsid w:val="004A71C3"/>
    <w:rsid w:val="004B3798"/>
    <w:rsid w:val="004D738F"/>
    <w:rsid w:val="004E14A6"/>
    <w:rsid w:val="004E7857"/>
    <w:rsid w:val="004F2A06"/>
    <w:rsid w:val="004F6AC9"/>
    <w:rsid w:val="00500FEC"/>
    <w:rsid w:val="00502509"/>
    <w:rsid w:val="005140CB"/>
    <w:rsid w:val="005378CA"/>
    <w:rsid w:val="00561BC2"/>
    <w:rsid w:val="00580080"/>
    <w:rsid w:val="00581994"/>
    <w:rsid w:val="00591655"/>
    <w:rsid w:val="005920E0"/>
    <w:rsid w:val="005A09BA"/>
    <w:rsid w:val="005A3F35"/>
    <w:rsid w:val="005A4710"/>
    <w:rsid w:val="005B162A"/>
    <w:rsid w:val="005C184F"/>
    <w:rsid w:val="006008EF"/>
    <w:rsid w:val="00610325"/>
    <w:rsid w:val="00620469"/>
    <w:rsid w:val="00632290"/>
    <w:rsid w:val="0064463E"/>
    <w:rsid w:val="00652A6E"/>
    <w:rsid w:val="00654B5D"/>
    <w:rsid w:val="006753B8"/>
    <w:rsid w:val="00677455"/>
    <w:rsid w:val="00686080"/>
    <w:rsid w:val="006C03A9"/>
    <w:rsid w:val="006C57F0"/>
    <w:rsid w:val="006C5ABB"/>
    <w:rsid w:val="006C681B"/>
    <w:rsid w:val="006C77CB"/>
    <w:rsid w:val="006D0110"/>
    <w:rsid w:val="006E46C6"/>
    <w:rsid w:val="006F6CD5"/>
    <w:rsid w:val="00710A59"/>
    <w:rsid w:val="0073221E"/>
    <w:rsid w:val="00795E36"/>
    <w:rsid w:val="0079610A"/>
    <w:rsid w:val="007A001B"/>
    <w:rsid w:val="007D7059"/>
    <w:rsid w:val="007F066C"/>
    <w:rsid w:val="007F6C29"/>
    <w:rsid w:val="0081634B"/>
    <w:rsid w:val="00836D5E"/>
    <w:rsid w:val="0083778B"/>
    <w:rsid w:val="0084099C"/>
    <w:rsid w:val="00892FD0"/>
    <w:rsid w:val="008B056D"/>
    <w:rsid w:val="008C0048"/>
    <w:rsid w:val="008D7D88"/>
    <w:rsid w:val="008E53B2"/>
    <w:rsid w:val="008E7FBC"/>
    <w:rsid w:val="00925DD7"/>
    <w:rsid w:val="00944E8A"/>
    <w:rsid w:val="009518F5"/>
    <w:rsid w:val="00957C67"/>
    <w:rsid w:val="00972D64"/>
    <w:rsid w:val="009876B7"/>
    <w:rsid w:val="009B5AF5"/>
    <w:rsid w:val="009C075F"/>
    <w:rsid w:val="009C0F2D"/>
    <w:rsid w:val="009C3DC1"/>
    <w:rsid w:val="009D6792"/>
    <w:rsid w:val="009E6FD4"/>
    <w:rsid w:val="00A0700A"/>
    <w:rsid w:val="00A1073B"/>
    <w:rsid w:val="00A46776"/>
    <w:rsid w:val="00A54EE1"/>
    <w:rsid w:val="00A65E3A"/>
    <w:rsid w:val="00A664C2"/>
    <w:rsid w:val="00A7077C"/>
    <w:rsid w:val="00A85014"/>
    <w:rsid w:val="00A85CC8"/>
    <w:rsid w:val="00AA4669"/>
    <w:rsid w:val="00AA7486"/>
    <w:rsid w:val="00AE5D5F"/>
    <w:rsid w:val="00AF1E72"/>
    <w:rsid w:val="00B14DA6"/>
    <w:rsid w:val="00B16619"/>
    <w:rsid w:val="00B25D57"/>
    <w:rsid w:val="00B2772F"/>
    <w:rsid w:val="00B33AFC"/>
    <w:rsid w:val="00B61BB2"/>
    <w:rsid w:val="00B66619"/>
    <w:rsid w:val="00B81BEF"/>
    <w:rsid w:val="00BA2274"/>
    <w:rsid w:val="00BA3731"/>
    <w:rsid w:val="00BB22FF"/>
    <w:rsid w:val="00BB6442"/>
    <w:rsid w:val="00BC32DE"/>
    <w:rsid w:val="00BC7C9B"/>
    <w:rsid w:val="00BF449A"/>
    <w:rsid w:val="00BF684E"/>
    <w:rsid w:val="00C02EA7"/>
    <w:rsid w:val="00C16972"/>
    <w:rsid w:val="00C21F72"/>
    <w:rsid w:val="00C24ABD"/>
    <w:rsid w:val="00C252A8"/>
    <w:rsid w:val="00C313A8"/>
    <w:rsid w:val="00C40D14"/>
    <w:rsid w:val="00C52158"/>
    <w:rsid w:val="00C5751E"/>
    <w:rsid w:val="00C5797B"/>
    <w:rsid w:val="00C60D04"/>
    <w:rsid w:val="00C67DE2"/>
    <w:rsid w:val="00C722E6"/>
    <w:rsid w:val="00C930ED"/>
    <w:rsid w:val="00CF1A0C"/>
    <w:rsid w:val="00CF36DB"/>
    <w:rsid w:val="00D2191E"/>
    <w:rsid w:val="00D5017C"/>
    <w:rsid w:val="00D57987"/>
    <w:rsid w:val="00D86F74"/>
    <w:rsid w:val="00D940A3"/>
    <w:rsid w:val="00DB11D0"/>
    <w:rsid w:val="00DB15B3"/>
    <w:rsid w:val="00DC2864"/>
    <w:rsid w:val="00DD71D3"/>
    <w:rsid w:val="00DD77D8"/>
    <w:rsid w:val="00DE6C99"/>
    <w:rsid w:val="00DF27F2"/>
    <w:rsid w:val="00E0278D"/>
    <w:rsid w:val="00E25565"/>
    <w:rsid w:val="00E269FE"/>
    <w:rsid w:val="00E2715C"/>
    <w:rsid w:val="00E31CAE"/>
    <w:rsid w:val="00E62986"/>
    <w:rsid w:val="00E75040"/>
    <w:rsid w:val="00E84D2C"/>
    <w:rsid w:val="00E93B55"/>
    <w:rsid w:val="00EC3C23"/>
    <w:rsid w:val="00EE5C22"/>
    <w:rsid w:val="00F00FF4"/>
    <w:rsid w:val="00F03C94"/>
    <w:rsid w:val="00F679EF"/>
    <w:rsid w:val="00F7099D"/>
    <w:rsid w:val="00F74DBC"/>
    <w:rsid w:val="00F86324"/>
    <w:rsid w:val="00FA1117"/>
    <w:rsid w:val="00FB2FC1"/>
    <w:rsid w:val="00FB6502"/>
    <w:rsid w:val="00FC1304"/>
    <w:rsid w:val="00FC63C6"/>
    <w:rsid w:val="00FD1303"/>
    <w:rsid w:val="00FD32C6"/>
    <w:rsid w:val="00FE29BA"/>
    <w:rsid w:val="00FE2AE2"/>
    <w:rsid w:val="00FE5596"/>
    <w:rsid w:val="00FE5ABD"/>
    <w:rsid w:val="00FE7A19"/>
    <w:rsid w:val="00FF6E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001B"/>
    <w:pPr>
      <w:spacing w:after="0" w:line="240" w:lineRule="auto"/>
    </w:pPr>
    <w:rPr>
      <w:rFonts w:ascii="Times New Roman" w:hAnsi="Times New Roman" w:cs="Times New Roman"/>
      <w:sz w:val="24"/>
      <w:szCs w:val="24"/>
      <w:lang w:eastAsia="it-IT"/>
    </w:rPr>
  </w:style>
  <w:style w:type="paragraph" w:styleId="Titolo1">
    <w:name w:val="heading 1"/>
    <w:basedOn w:val="Normale"/>
    <w:link w:val="Titolo1Carattere"/>
    <w:uiPriority w:val="9"/>
    <w:qFormat/>
    <w:rsid w:val="007A001B"/>
    <w:pPr>
      <w:spacing w:before="100" w:beforeAutospacing="1" w:after="100" w:afterAutospacing="1"/>
      <w:outlineLvl w:val="0"/>
    </w:pPr>
    <w:rPr>
      <w:rFonts w:eastAsia="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A001B"/>
    <w:pPr>
      <w:spacing w:before="100" w:beforeAutospacing="1" w:after="100" w:afterAutospacing="1"/>
    </w:pPr>
  </w:style>
  <w:style w:type="character" w:customStyle="1" w:styleId="Titolo1Carattere">
    <w:name w:val="Titolo 1 Carattere"/>
    <w:basedOn w:val="Carpredefinitoparagrafo"/>
    <w:link w:val="Titolo1"/>
    <w:uiPriority w:val="9"/>
    <w:rsid w:val="007A001B"/>
    <w:rPr>
      <w:rFonts w:ascii="Times New Roman" w:eastAsia="Times New Roman" w:hAnsi="Times New Roman" w:cs="Times New Roman"/>
      <w:b/>
      <w:bCs/>
      <w:kern w:val="36"/>
      <w:sz w:val="48"/>
      <w:szCs w:val="48"/>
      <w:lang w:eastAsia="it-IT"/>
    </w:rPr>
  </w:style>
  <w:style w:type="paragraph" w:styleId="Intestazione">
    <w:name w:val="header"/>
    <w:basedOn w:val="Normale"/>
    <w:link w:val="IntestazioneCarattere"/>
    <w:uiPriority w:val="99"/>
    <w:unhideWhenUsed/>
    <w:rsid w:val="00EE5C22"/>
    <w:pPr>
      <w:tabs>
        <w:tab w:val="center" w:pos="4819"/>
        <w:tab w:val="right" w:pos="9638"/>
      </w:tabs>
    </w:pPr>
  </w:style>
  <w:style w:type="character" w:customStyle="1" w:styleId="IntestazioneCarattere">
    <w:name w:val="Intestazione Carattere"/>
    <w:basedOn w:val="Carpredefinitoparagrafo"/>
    <w:link w:val="Intestazione"/>
    <w:uiPriority w:val="99"/>
    <w:rsid w:val="00EE5C22"/>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EE5C22"/>
    <w:pPr>
      <w:tabs>
        <w:tab w:val="center" w:pos="4819"/>
        <w:tab w:val="right" w:pos="9638"/>
      </w:tabs>
    </w:pPr>
  </w:style>
  <w:style w:type="character" w:customStyle="1" w:styleId="PidipaginaCarattere">
    <w:name w:val="Piè di pagina Carattere"/>
    <w:basedOn w:val="Carpredefinitoparagrafo"/>
    <w:link w:val="Pidipagina"/>
    <w:uiPriority w:val="99"/>
    <w:rsid w:val="00EE5C22"/>
    <w:rPr>
      <w:rFonts w:ascii="Times New Roman" w:hAnsi="Times New Roman" w:cs="Times New Roman"/>
      <w:sz w:val="24"/>
      <w:szCs w:val="24"/>
      <w:lang w:eastAsia="it-IT"/>
    </w:rPr>
  </w:style>
  <w:style w:type="paragraph" w:customStyle="1" w:styleId="Default">
    <w:name w:val="Default"/>
    <w:rsid w:val="003F16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
    <w:basedOn w:val="Normale"/>
    <w:next w:val="Corpodeltesto"/>
    <w:link w:val="CorpodeltestoCarattere"/>
    <w:rsid w:val="003F166D"/>
    <w:pPr>
      <w:jc w:val="both"/>
    </w:pPr>
    <w:rPr>
      <w:rFonts w:eastAsia="Times New Roman"/>
      <w:szCs w:val="20"/>
    </w:rPr>
  </w:style>
  <w:style w:type="character" w:customStyle="1" w:styleId="CorpodeltestoCarattere">
    <w:name w:val="Corpo del testo Carattere"/>
    <w:basedOn w:val="Carpredefinitoparagrafo"/>
    <w:link w:val="a"/>
    <w:rsid w:val="003F166D"/>
    <w:rPr>
      <w:rFonts w:ascii="Times New Roman" w:eastAsia="Times New Roman" w:hAnsi="Times New Roman" w:cs="Times New Roman"/>
      <w:sz w:val="24"/>
      <w:szCs w:val="20"/>
      <w:lang w:eastAsia="it-IT"/>
    </w:rPr>
  </w:style>
  <w:style w:type="paragraph" w:styleId="Corpodeltesto">
    <w:name w:val="Body Text"/>
    <w:basedOn w:val="Normale"/>
    <w:link w:val="CorpodeltestoCarattere1"/>
    <w:uiPriority w:val="99"/>
    <w:semiHidden/>
    <w:unhideWhenUsed/>
    <w:rsid w:val="003F166D"/>
    <w:pPr>
      <w:spacing w:after="120"/>
    </w:pPr>
  </w:style>
  <w:style w:type="character" w:customStyle="1" w:styleId="CorpodeltestoCarattere1">
    <w:name w:val="Corpo del testo Carattere1"/>
    <w:basedOn w:val="Carpredefinitoparagrafo"/>
    <w:link w:val="Corpodeltesto"/>
    <w:uiPriority w:val="99"/>
    <w:semiHidden/>
    <w:rsid w:val="003F166D"/>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95E36"/>
    <w:rPr>
      <w:rFonts w:ascii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795E36"/>
    <w:rPr>
      <w:sz w:val="20"/>
      <w:szCs w:val="20"/>
    </w:rPr>
  </w:style>
  <w:style w:type="character" w:styleId="Rimandonotaapidipagina">
    <w:name w:val="footnote reference"/>
    <w:basedOn w:val="Carpredefinitoparagrafo"/>
    <w:uiPriority w:val="99"/>
    <w:unhideWhenUsed/>
    <w:rsid w:val="00795E36"/>
    <w:rPr>
      <w:vertAlign w:val="superscript"/>
    </w:rPr>
  </w:style>
  <w:style w:type="paragraph" w:styleId="Paragrafoelenco">
    <w:name w:val="List Paragraph"/>
    <w:basedOn w:val="Normale"/>
    <w:uiPriority w:val="99"/>
    <w:qFormat/>
    <w:rsid w:val="004E14A6"/>
    <w:pPr>
      <w:ind w:left="720"/>
      <w:contextualSpacing/>
    </w:pPr>
  </w:style>
  <w:style w:type="paragraph" w:styleId="Testofumetto">
    <w:name w:val="Balloon Text"/>
    <w:basedOn w:val="Normale"/>
    <w:link w:val="TestofumettoCarattere"/>
    <w:uiPriority w:val="99"/>
    <w:semiHidden/>
    <w:unhideWhenUsed/>
    <w:rsid w:val="009876B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76B7"/>
    <w:rPr>
      <w:rFonts w:ascii="Segoe UI" w:hAnsi="Segoe UI" w:cs="Segoe UI"/>
      <w:sz w:val="18"/>
      <w:szCs w:val="18"/>
      <w:lang w:eastAsia="it-IT"/>
    </w:rPr>
  </w:style>
  <w:style w:type="paragraph" w:styleId="Nessunaspaziatura">
    <w:name w:val="No Spacing"/>
    <w:uiPriority w:val="1"/>
    <w:qFormat/>
    <w:rsid w:val="008E7FBC"/>
    <w:pPr>
      <w:spacing w:after="0" w:line="240" w:lineRule="auto"/>
    </w:pPr>
  </w:style>
  <w:style w:type="table" w:styleId="Grigliatabella">
    <w:name w:val="Table Grid"/>
    <w:basedOn w:val="Tabellanormale"/>
    <w:uiPriority w:val="99"/>
    <w:rsid w:val="00147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5865595">
      <w:bodyDiv w:val="1"/>
      <w:marLeft w:val="0"/>
      <w:marRight w:val="0"/>
      <w:marTop w:val="0"/>
      <w:marBottom w:val="0"/>
      <w:divBdr>
        <w:top w:val="none" w:sz="0" w:space="0" w:color="auto"/>
        <w:left w:val="none" w:sz="0" w:space="0" w:color="auto"/>
        <w:bottom w:val="none" w:sz="0" w:space="0" w:color="auto"/>
        <w:right w:val="none" w:sz="0" w:space="0" w:color="auto"/>
      </w:divBdr>
    </w:div>
    <w:div w:id="1151286461">
      <w:bodyDiv w:val="1"/>
      <w:marLeft w:val="0"/>
      <w:marRight w:val="0"/>
      <w:marTop w:val="0"/>
      <w:marBottom w:val="0"/>
      <w:divBdr>
        <w:top w:val="none" w:sz="0" w:space="0" w:color="auto"/>
        <w:left w:val="none" w:sz="0" w:space="0" w:color="auto"/>
        <w:bottom w:val="none" w:sz="0" w:space="0" w:color="auto"/>
        <w:right w:val="none" w:sz="0" w:space="0" w:color="auto"/>
      </w:divBdr>
    </w:div>
    <w:div w:id="149186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5332-92FB-4165-8433-709CBDB2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CHIAPPINI</dc:creator>
  <cp:lastModifiedBy>Claudia</cp:lastModifiedBy>
  <cp:revision>3</cp:revision>
  <cp:lastPrinted>2019-02-04T11:57:00Z</cp:lastPrinted>
  <dcterms:created xsi:type="dcterms:W3CDTF">2019-02-08T12:02:00Z</dcterms:created>
  <dcterms:modified xsi:type="dcterms:W3CDTF">2019-02-08T12:03:00Z</dcterms:modified>
</cp:coreProperties>
</file>